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55B2" w:rsidRDefault="003F55B2" w:rsidP="00213284">
      <w:pPr>
        <w:ind w:left="7371"/>
        <w:jc w:val="left"/>
        <w:rPr>
          <w:sz w:val="24"/>
          <w:rtl/>
        </w:rPr>
      </w:pPr>
      <w:bookmarkStart w:id="0" w:name="Date"/>
      <w:bookmarkEnd w:id="0"/>
      <w:r>
        <w:rPr>
          <w:rFonts w:hint="eastAsia"/>
          <w:sz w:val="24"/>
          <w:rtl/>
        </w:rPr>
        <w:t>ה</w:t>
      </w:r>
      <w:r>
        <w:rPr>
          <w:sz w:val="24"/>
          <w:rtl/>
        </w:rPr>
        <w:t xml:space="preserve">' </w:t>
      </w:r>
      <w:r>
        <w:rPr>
          <w:rFonts w:hint="eastAsia"/>
          <w:sz w:val="24"/>
          <w:rtl/>
        </w:rPr>
        <w:t>בכסלו</w:t>
      </w:r>
      <w:r>
        <w:rPr>
          <w:sz w:val="24"/>
          <w:rtl/>
        </w:rPr>
        <w:t xml:space="preserve"> </w:t>
      </w:r>
      <w:proofErr w:type="spellStart"/>
      <w:r>
        <w:rPr>
          <w:rFonts w:hint="eastAsia"/>
          <w:sz w:val="24"/>
          <w:rtl/>
        </w:rPr>
        <w:t>התשפ</w:t>
      </w:r>
      <w:r>
        <w:rPr>
          <w:sz w:val="24"/>
          <w:rtl/>
        </w:rPr>
        <w:t>"</w:t>
      </w:r>
      <w:r>
        <w:rPr>
          <w:rFonts w:hint="eastAsia"/>
          <w:sz w:val="24"/>
          <w:rtl/>
        </w:rPr>
        <w:t>ג</w:t>
      </w:r>
      <w:proofErr w:type="spellEnd"/>
      <w:r>
        <w:rPr>
          <w:sz w:val="24"/>
          <w:rtl/>
        </w:rPr>
        <w:br/>
        <w:t xml:space="preserve">29 </w:t>
      </w:r>
      <w:r>
        <w:rPr>
          <w:rFonts w:hint="eastAsia"/>
          <w:sz w:val="24"/>
          <w:rtl/>
        </w:rPr>
        <w:t>בנובמבר</w:t>
      </w:r>
      <w:r>
        <w:rPr>
          <w:sz w:val="24"/>
          <w:rtl/>
        </w:rPr>
        <w:t xml:space="preserve"> 2022</w:t>
      </w:r>
    </w:p>
    <w:p w:rsidR="003F55B2" w:rsidRDefault="003F55B2" w:rsidP="00213284">
      <w:pPr>
        <w:ind w:left="7371"/>
        <w:jc w:val="left"/>
        <w:rPr>
          <w:sz w:val="24"/>
          <w:rtl/>
        </w:rPr>
      </w:pPr>
      <w:bookmarkStart w:id="1" w:name="DocNum"/>
      <w:bookmarkEnd w:id="1"/>
      <w:r>
        <w:rPr>
          <w:rFonts w:hint="eastAsia"/>
          <w:sz w:val="24"/>
          <w:rtl/>
        </w:rPr>
        <w:t>שה</w:t>
      </w:r>
      <w:r>
        <w:rPr>
          <w:sz w:val="24"/>
          <w:rtl/>
        </w:rPr>
        <w:t>. 2022-6116</w:t>
      </w:r>
    </w:p>
    <w:p w:rsidR="00C3464B" w:rsidRDefault="00C3464B" w:rsidP="00213284">
      <w:pPr>
        <w:spacing w:line="360" w:lineRule="auto"/>
        <w:ind w:left="7371"/>
        <w:jc w:val="left"/>
        <w:rPr>
          <w:sz w:val="24"/>
          <w:rtl/>
        </w:rPr>
      </w:pPr>
    </w:p>
    <w:p w:rsidR="00C3464B" w:rsidRDefault="00C3464B" w:rsidP="00C3464B">
      <w:pPr>
        <w:spacing w:line="360" w:lineRule="auto"/>
        <w:jc w:val="left"/>
        <w:rPr>
          <w:sz w:val="24"/>
          <w:rtl/>
        </w:rPr>
      </w:pPr>
      <w:r>
        <w:rPr>
          <w:sz w:val="24"/>
          <w:rtl/>
        </w:rPr>
        <w:t>אל:</w:t>
      </w:r>
      <w:r>
        <w:rPr>
          <w:rFonts w:hint="cs"/>
          <w:sz w:val="24"/>
          <w:rtl/>
        </w:rPr>
        <w:t xml:space="preserve"> </w:t>
      </w:r>
    </w:p>
    <w:p w:rsidR="003F55B2" w:rsidRDefault="003F55B2" w:rsidP="00C3464B">
      <w:pPr>
        <w:tabs>
          <w:tab w:val="left" w:pos="3486"/>
          <w:tab w:val="left" w:pos="4353"/>
        </w:tabs>
        <w:spacing w:line="360" w:lineRule="auto"/>
        <w:jc w:val="left"/>
        <w:rPr>
          <w:sz w:val="24"/>
          <w:rtl/>
        </w:rPr>
      </w:pPr>
      <w:bookmarkStart w:id="2" w:name="MainToEl"/>
      <w:bookmarkEnd w:id="2"/>
      <w:r>
        <w:rPr>
          <w:rFonts w:hint="eastAsia"/>
          <w:sz w:val="24"/>
          <w:rtl/>
        </w:rPr>
        <w:t>דניאל</w:t>
      </w:r>
      <w:r>
        <w:rPr>
          <w:sz w:val="24"/>
          <w:rtl/>
        </w:rPr>
        <w:t xml:space="preserve"> </w:t>
      </w:r>
      <w:r>
        <w:rPr>
          <w:rFonts w:hint="eastAsia"/>
          <w:sz w:val="24"/>
          <w:rtl/>
        </w:rPr>
        <w:t>שאול</w:t>
      </w:r>
      <w:r>
        <w:rPr>
          <w:sz w:val="24"/>
          <w:rtl/>
        </w:rPr>
        <w:t xml:space="preserve"> - </w:t>
      </w:r>
      <w:r>
        <w:rPr>
          <w:rFonts w:hint="eastAsia"/>
          <w:sz w:val="24"/>
          <w:rtl/>
        </w:rPr>
        <w:t>רכש</w:t>
      </w:r>
      <w:r>
        <w:rPr>
          <w:sz w:val="24"/>
          <w:rtl/>
        </w:rPr>
        <w:t xml:space="preserve"> </w:t>
      </w:r>
      <w:r>
        <w:rPr>
          <w:rFonts w:hint="eastAsia"/>
          <w:sz w:val="24"/>
          <w:rtl/>
        </w:rPr>
        <w:t>והתקשרויות</w:t>
      </w:r>
      <w:r>
        <w:rPr>
          <w:sz w:val="24"/>
          <w:rtl/>
        </w:rPr>
        <w:t xml:space="preserve">, </w:t>
      </w:r>
      <w:r>
        <w:rPr>
          <w:rFonts w:hint="eastAsia"/>
          <w:sz w:val="24"/>
          <w:rtl/>
        </w:rPr>
        <w:t>משרד</w:t>
      </w:r>
      <w:r>
        <w:rPr>
          <w:sz w:val="24"/>
          <w:rtl/>
        </w:rPr>
        <w:t xml:space="preserve"> </w:t>
      </w:r>
      <w:r>
        <w:rPr>
          <w:rFonts w:hint="eastAsia"/>
          <w:sz w:val="24"/>
          <w:rtl/>
        </w:rPr>
        <w:t>האוצר</w:t>
      </w:r>
    </w:p>
    <w:p w:rsidR="00C3464B" w:rsidRDefault="00C3464B" w:rsidP="00C3464B">
      <w:pPr>
        <w:tabs>
          <w:tab w:val="left" w:pos="3486"/>
          <w:tab w:val="left" w:pos="5896"/>
        </w:tabs>
        <w:spacing w:line="360" w:lineRule="auto"/>
        <w:jc w:val="left"/>
        <w:rPr>
          <w:sz w:val="24"/>
          <w:rtl/>
        </w:rPr>
      </w:pPr>
    </w:p>
    <w:p w:rsidR="00C3464B" w:rsidRDefault="00C3464B" w:rsidP="00C3464B">
      <w:pPr>
        <w:tabs>
          <w:tab w:val="left" w:pos="3486"/>
          <w:tab w:val="left" w:pos="5896"/>
        </w:tabs>
        <w:spacing w:line="360" w:lineRule="auto"/>
        <w:jc w:val="left"/>
        <w:rPr>
          <w:sz w:val="24"/>
          <w:rtl/>
        </w:rPr>
      </w:pPr>
    </w:p>
    <w:p w:rsidR="00C3464B" w:rsidRDefault="00C3464B" w:rsidP="00C3464B">
      <w:pPr>
        <w:spacing w:line="360" w:lineRule="auto"/>
        <w:ind w:left="651"/>
        <w:jc w:val="left"/>
        <w:rPr>
          <w:sz w:val="24"/>
          <w:rtl/>
        </w:rPr>
      </w:pPr>
    </w:p>
    <w:p w:rsidR="008C6B28" w:rsidRPr="00F54DC6" w:rsidRDefault="008C6B28" w:rsidP="008C6B28">
      <w:pPr>
        <w:rPr>
          <w:rFonts w:ascii="Arial" w:hAnsi="Arial" w:cs="Arial"/>
          <w:b/>
          <w:sz w:val="22"/>
          <w:szCs w:val="22"/>
          <w:rtl/>
        </w:rPr>
      </w:pPr>
      <w:bookmarkStart w:id="3" w:name="start"/>
      <w:bookmarkStart w:id="4" w:name="_GoBack"/>
      <w:bookmarkEnd w:id="3"/>
      <w:bookmarkEnd w:id="4"/>
      <w:r w:rsidRPr="00F54DC6">
        <w:rPr>
          <w:rFonts w:ascii="Arial" w:hAnsi="Arial" w:cs="Arial"/>
          <w:b/>
          <w:sz w:val="22"/>
          <w:szCs w:val="22"/>
          <w:rtl/>
        </w:rPr>
        <w:t xml:space="preserve">אל: ועדת המכרזים </w:t>
      </w:r>
      <w:r>
        <w:rPr>
          <w:rFonts w:ascii="Arial" w:hAnsi="Arial" w:cs="Arial" w:hint="cs"/>
          <w:b/>
          <w:sz w:val="22"/>
          <w:szCs w:val="22"/>
          <w:rtl/>
        </w:rPr>
        <w:t>/ רשות שוק ההון</w:t>
      </w:r>
    </w:p>
    <w:p w:rsidR="008C6B28" w:rsidRPr="00F54DC6" w:rsidRDefault="008C6B28" w:rsidP="008C6B28">
      <w:pPr>
        <w:rPr>
          <w:rFonts w:ascii="Arial" w:hAnsi="Arial" w:cs="Arial"/>
          <w:b/>
          <w:sz w:val="22"/>
          <w:szCs w:val="22"/>
          <w:rtl/>
        </w:rPr>
      </w:pPr>
    </w:p>
    <w:p w:rsidR="008C6B28" w:rsidRPr="00F54DC6" w:rsidRDefault="008C6B28" w:rsidP="008C6B28">
      <w:pPr>
        <w:jc w:val="center"/>
        <w:rPr>
          <w:rFonts w:ascii="Arial" w:hAnsi="Arial" w:cs="Arial"/>
          <w:bCs/>
          <w:sz w:val="22"/>
          <w:szCs w:val="22"/>
          <w:u w:val="single"/>
          <w:rtl/>
        </w:rPr>
      </w:pPr>
      <w:r w:rsidRPr="00F54DC6">
        <w:rPr>
          <w:rFonts w:ascii="Arial" w:hAnsi="Arial" w:cs="Arial"/>
          <w:bCs/>
          <w:sz w:val="22"/>
          <w:szCs w:val="22"/>
          <w:rtl/>
        </w:rPr>
        <w:t xml:space="preserve">הנדון: </w:t>
      </w:r>
      <w:r w:rsidRPr="00F54DC6">
        <w:rPr>
          <w:rFonts w:ascii="Arial" w:hAnsi="Arial" w:cs="Arial"/>
          <w:bCs/>
          <w:sz w:val="22"/>
          <w:szCs w:val="22"/>
          <w:u w:val="single"/>
          <w:rtl/>
        </w:rPr>
        <w:t>חוות דעת מקצועית במסגרת כוונה להתקשר עם ספק יחיד/ ספק חוץ</w:t>
      </w:r>
    </w:p>
    <w:p w:rsidR="008C6B28" w:rsidRPr="00F54DC6" w:rsidRDefault="008C6B28" w:rsidP="008C6B28">
      <w:pPr>
        <w:rPr>
          <w:rFonts w:ascii="Arial" w:hAnsi="Arial" w:cs="Arial"/>
          <w:bCs/>
          <w:rtl/>
        </w:rPr>
      </w:pPr>
    </w:p>
    <w:p w:rsidR="008C6B28" w:rsidRPr="00F54DC6" w:rsidRDefault="008C6B28" w:rsidP="008C6B28">
      <w:pPr>
        <w:rPr>
          <w:rFonts w:ascii="Arial" w:hAnsi="Arial" w:cs="Arial"/>
          <w:bCs/>
          <w:rtl/>
        </w:rPr>
      </w:pPr>
      <w:r w:rsidRPr="00F54DC6">
        <w:rPr>
          <w:rFonts w:ascii="Arial" w:hAnsi="Arial" w:cs="Arial"/>
          <w:bCs/>
          <w:rtl/>
        </w:rPr>
        <w:t>נימוקים כי הספק הוא ספק יחיד או כי הטובין הם טובי חוץ</w:t>
      </w:r>
    </w:p>
    <w:p w:rsidR="008C6B28" w:rsidRPr="00F54DC6" w:rsidRDefault="008C6B28" w:rsidP="008C6B28">
      <w:pPr>
        <w:rPr>
          <w:rFonts w:ascii="Arial" w:hAnsi="Arial" w:cs="Arial"/>
          <w:bCs/>
          <w:sz w:val="22"/>
          <w:szCs w:val="22"/>
          <w:rtl/>
        </w:rPr>
      </w:pPr>
      <w:r w:rsidRPr="00F54DC6">
        <w:rPr>
          <w:rFonts w:ascii="Arial" w:hAnsi="Arial" w:cs="Arial"/>
          <w:bCs/>
          <w:sz w:val="22"/>
          <w:szCs w:val="22"/>
          <w:rtl/>
        </w:rPr>
        <w:t>(</w:t>
      </w:r>
      <w:r w:rsidRPr="00F54DC6">
        <w:rPr>
          <w:rFonts w:ascii="Arial" w:hAnsi="Arial" w:cs="Arial"/>
          <w:b/>
          <w:sz w:val="22"/>
          <w:szCs w:val="22"/>
          <w:rtl/>
        </w:rPr>
        <w:t>במקרה הצורך ניתן לצרף עמודים נוספים וכל מסמך רלוונטי נוסף</w:t>
      </w:r>
      <w:r w:rsidRPr="00F54DC6">
        <w:rPr>
          <w:rFonts w:ascii="Arial" w:hAnsi="Arial" w:cs="Arial"/>
          <w:bCs/>
          <w:sz w:val="22"/>
          <w:szCs w:val="22"/>
          <w:rtl/>
        </w:rPr>
        <w:t>)</w:t>
      </w:r>
    </w:p>
    <w:p w:rsidR="008C6B28" w:rsidRPr="00F54DC6" w:rsidRDefault="008C6B28" w:rsidP="008C6B28">
      <w:pPr>
        <w:rPr>
          <w:rFonts w:ascii="Arial" w:hAnsi="Arial" w:cs="Arial"/>
          <w:bCs/>
          <w:sz w:val="22"/>
          <w:szCs w:val="22"/>
          <w:rtl/>
        </w:rPr>
      </w:pPr>
    </w:p>
    <w:p w:rsidR="008C6B28" w:rsidRPr="00F54DC6" w:rsidRDefault="008C6B28" w:rsidP="008C6B28">
      <w:pPr>
        <w:spacing w:line="360" w:lineRule="auto"/>
        <w:rPr>
          <w:rFonts w:ascii="Arial" w:hAnsi="Arial" w:cs="Arial"/>
          <w:bCs/>
          <w:sz w:val="22"/>
          <w:szCs w:val="22"/>
          <w:rtl/>
        </w:rPr>
      </w:pPr>
      <w:r w:rsidRPr="00F54DC6">
        <w:rPr>
          <w:rFonts w:ascii="Arial" w:hAnsi="Arial" w:cs="Arial"/>
          <w:bCs/>
          <w:sz w:val="22"/>
          <w:szCs w:val="22"/>
          <w:rtl/>
        </w:rPr>
        <w:t xml:space="preserve">נא להתייחס לסעיפים הבאים: </w:t>
      </w:r>
    </w:p>
    <w:p w:rsidR="008C6B28" w:rsidRPr="00F54DC6" w:rsidRDefault="008C6B28" w:rsidP="008C6B28">
      <w:pPr>
        <w:spacing w:line="360" w:lineRule="auto"/>
        <w:rPr>
          <w:rFonts w:ascii="Arial" w:hAnsi="Arial" w:cs="Arial"/>
          <w:b/>
          <w:sz w:val="22"/>
          <w:szCs w:val="22"/>
          <w:rtl/>
        </w:rPr>
      </w:pPr>
      <w:r w:rsidRPr="00F54DC6">
        <w:rPr>
          <w:rFonts w:ascii="Arial" w:hAnsi="Arial" w:cs="Arial"/>
          <w:bCs/>
          <w:sz w:val="22"/>
          <w:szCs w:val="22"/>
          <w:rtl/>
        </w:rPr>
        <w:t>1. האמצעים שבהם נערכו בדיקות לאיתור ספקים נוספים והכנת חוות דעת</w:t>
      </w:r>
      <w:r w:rsidRPr="00F54DC6">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rsidR="008C6B28" w:rsidRPr="00F54DC6" w:rsidRDefault="008C6B28" w:rsidP="008C6B28">
      <w:pPr>
        <w:spacing w:line="360" w:lineRule="auto"/>
        <w:rPr>
          <w:rFonts w:ascii="Arial" w:hAnsi="Arial" w:cs="Arial"/>
          <w:b/>
          <w:sz w:val="22"/>
          <w:szCs w:val="22"/>
          <w:rtl/>
        </w:rPr>
      </w:pPr>
      <w:r w:rsidRPr="00F54DC6">
        <w:rPr>
          <w:rFonts w:ascii="Arial" w:hAnsi="Arial" w:cs="Arial"/>
          <w:bCs/>
          <w:sz w:val="22"/>
          <w:szCs w:val="22"/>
          <w:rtl/>
        </w:rPr>
        <w:t>2. ממצאי הבדיקה</w:t>
      </w:r>
      <w:r w:rsidRPr="00F54DC6">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8C6B28" w:rsidRPr="00F54DC6" w:rsidRDefault="008C6B28" w:rsidP="008C6B28">
      <w:pPr>
        <w:spacing w:line="360" w:lineRule="auto"/>
        <w:rPr>
          <w:rFonts w:ascii="Arial" w:hAnsi="Arial" w:cs="Arial"/>
          <w:bCs/>
          <w:sz w:val="22"/>
          <w:szCs w:val="22"/>
          <w:rtl/>
        </w:rPr>
      </w:pPr>
      <w:r w:rsidRPr="00F54DC6">
        <w:rPr>
          <w:rFonts w:ascii="Arial" w:hAnsi="Arial" w:cs="Arial"/>
          <w:bCs/>
          <w:sz w:val="22"/>
          <w:szCs w:val="22"/>
          <w:rtl/>
        </w:rPr>
        <w:t xml:space="preserve">3. </w:t>
      </w:r>
      <w:r w:rsidRPr="00F54DC6">
        <w:rPr>
          <w:rFonts w:ascii="Arial" w:hAnsi="Arial" w:cs="Arial"/>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296"/>
      </w:tblGrid>
      <w:tr w:rsidR="008C6B28" w:rsidTr="00DC0C0D">
        <w:tc>
          <w:tcPr>
            <w:tcW w:w="8296" w:type="dxa"/>
          </w:tcPr>
          <w:p w:rsidR="008C6B28" w:rsidRDefault="008C6B28" w:rsidP="00DC0C0D">
            <w:pPr>
              <w:spacing w:line="360" w:lineRule="auto"/>
              <w:rPr>
                <w:rFonts w:ascii="Arial" w:hAnsi="Arial" w:cs="Arial"/>
                <w:b/>
                <w:sz w:val="22"/>
                <w:szCs w:val="22"/>
                <w:rtl/>
              </w:rPr>
            </w:pPr>
            <w:r>
              <w:rPr>
                <w:rFonts w:ascii="Arial" w:hAnsi="Arial" w:cs="Arial" w:hint="cs"/>
                <w:b/>
                <w:sz w:val="22"/>
                <w:szCs w:val="22"/>
                <w:rtl/>
              </w:rPr>
              <w:t>ה-</w:t>
            </w:r>
            <w:r>
              <w:rPr>
                <w:rFonts w:ascii="Arial" w:hAnsi="Arial" w:cs="Arial" w:hint="cs"/>
                <w:b/>
                <w:sz w:val="22"/>
                <w:szCs w:val="22"/>
              </w:rPr>
              <w:t>IAIS</w:t>
            </w:r>
            <w:r>
              <w:rPr>
                <w:rFonts w:ascii="Arial" w:hAnsi="Arial" w:cs="Arial" w:hint="cs"/>
                <w:b/>
                <w:sz w:val="22"/>
                <w:szCs w:val="22"/>
                <w:rtl/>
              </w:rPr>
              <w:t xml:space="preserve"> משמש כאיגוד הבינלאומי של המפקחים על חברות הביטוח. לא קיים ארגון בינלאומי אחר מסוג זה בזירה הפיננסית הבינלאומית. לכל תחום פיננסי קיים ארגון בינלאומי. ה-</w:t>
            </w:r>
            <w:r>
              <w:rPr>
                <w:rFonts w:ascii="Arial" w:hAnsi="Arial" w:cs="Arial" w:hint="cs"/>
                <w:b/>
                <w:sz w:val="22"/>
                <w:szCs w:val="22"/>
              </w:rPr>
              <w:t>IAIS</w:t>
            </w:r>
            <w:r>
              <w:rPr>
                <w:rFonts w:ascii="Arial" w:hAnsi="Arial" w:cs="Arial" w:hint="cs"/>
                <w:b/>
                <w:sz w:val="22"/>
                <w:szCs w:val="22"/>
                <w:rtl/>
              </w:rPr>
              <w:t xml:space="preserve">, כאמור, משמש כארגון של ענף הביטוח, </w:t>
            </w:r>
            <w:r>
              <w:rPr>
                <w:rFonts w:ascii="Arial" w:hAnsi="Arial" w:cs="Arial"/>
                <w:b/>
                <w:sz w:val="22"/>
                <w:szCs w:val="22"/>
              </w:rPr>
              <w:t>BIS</w:t>
            </w:r>
            <w:r>
              <w:rPr>
                <w:rFonts w:ascii="Arial" w:hAnsi="Arial" w:cs="Arial" w:hint="cs"/>
                <w:b/>
                <w:sz w:val="22"/>
                <w:szCs w:val="22"/>
                <w:rtl/>
              </w:rPr>
              <w:t xml:space="preserve"> של המפקחים על הבנקים (והבנקים המרכזיים), </w:t>
            </w:r>
            <w:r>
              <w:rPr>
                <w:rFonts w:ascii="Arial" w:hAnsi="Arial" w:cs="Arial" w:hint="cs"/>
                <w:b/>
                <w:sz w:val="22"/>
                <w:szCs w:val="22"/>
              </w:rPr>
              <w:t>IOPS</w:t>
            </w:r>
            <w:r>
              <w:rPr>
                <w:rFonts w:ascii="Arial" w:hAnsi="Arial" w:cs="Arial" w:hint="cs"/>
                <w:b/>
                <w:sz w:val="22"/>
                <w:szCs w:val="22"/>
                <w:rtl/>
              </w:rPr>
              <w:t xml:space="preserve"> של המפקחים על קרנות הפנסיה</w:t>
            </w:r>
            <w:r>
              <w:rPr>
                <w:rFonts w:ascii="Arial" w:hAnsi="Arial" w:cs="Arial" w:hint="cs"/>
                <w:b/>
                <w:sz w:val="22"/>
                <w:szCs w:val="22"/>
              </w:rPr>
              <w:t xml:space="preserve"> </w:t>
            </w:r>
            <w:r>
              <w:rPr>
                <w:rFonts w:ascii="Arial" w:hAnsi="Arial" w:cs="Arial"/>
                <w:b/>
                <w:sz w:val="22"/>
                <w:szCs w:val="22"/>
              </w:rPr>
              <w:t xml:space="preserve">   </w:t>
            </w:r>
            <w:r>
              <w:rPr>
                <w:rFonts w:ascii="Arial" w:hAnsi="Arial" w:cs="Arial" w:hint="cs"/>
                <w:b/>
                <w:sz w:val="22"/>
                <w:szCs w:val="22"/>
                <w:rtl/>
              </w:rPr>
              <w:t xml:space="preserve"> ו-</w:t>
            </w:r>
            <w:r>
              <w:rPr>
                <w:rFonts w:ascii="Arial" w:hAnsi="Arial" w:cs="Arial" w:hint="cs"/>
                <w:b/>
                <w:sz w:val="22"/>
                <w:szCs w:val="22"/>
              </w:rPr>
              <w:t>IOSCO</w:t>
            </w:r>
            <w:r>
              <w:rPr>
                <w:rFonts w:ascii="Arial" w:hAnsi="Arial" w:cs="Arial" w:hint="cs"/>
                <w:b/>
                <w:sz w:val="22"/>
                <w:szCs w:val="22"/>
                <w:rtl/>
              </w:rPr>
              <w:t xml:space="preserve"> של המפקחים על הרשויות לניירות ערך. זאת, בדומה לארגונים בינלאומיים בתחומים אחרים </w:t>
            </w:r>
            <w:r>
              <w:rPr>
                <w:rFonts w:ascii="Arial" w:hAnsi="Arial" w:cs="Arial"/>
                <w:b/>
                <w:sz w:val="22"/>
                <w:szCs w:val="22"/>
                <w:rtl/>
              </w:rPr>
              <w:t>–</w:t>
            </w:r>
            <w:r>
              <w:rPr>
                <w:rFonts w:ascii="Arial" w:hAnsi="Arial" w:cs="Arial" w:hint="cs"/>
                <w:b/>
                <w:sz w:val="22"/>
                <w:szCs w:val="22"/>
                <w:rtl/>
              </w:rPr>
              <w:t xml:space="preserve"> לדוגמא, </w:t>
            </w:r>
            <w:r>
              <w:rPr>
                <w:rFonts w:ascii="Arial" w:hAnsi="Arial" w:cs="Arial" w:hint="cs"/>
                <w:b/>
                <w:sz w:val="22"/>
                <w:szCs w:val="22"/>
              </w:rPr>
              <w:t>WHO</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ארגון הבריאות העולמי, </w:t>
            </w:r>
            <w:r>
              <w:rPr>
                <w:rFonts w:ascii="Arial" w:hAnsi="Arial" w:cs="Arial" w:hint="cs"/>
                <w:b/>
                <w:sz w:val="22"/>
                <w:szCs w:val="22"/>
              </w:rPr>
              <w:t>WTO</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ארגון הסחר העולמי ועוד. </w:t>
            </w:r>
          </w:p>
          <w:p w:rsidR="008C6B28" w:rsidRPr="00F54DC6" w:rsidRDefault="008C6B28" w:rsidP="00DC0C0D">
            <w:pPr>
              <w:spacing w:line="360" w:lineRule="auto"/>
              <w:rPr>
                <w:rFonts w:ascii="Arial" w:hAnsi="Arial" w:cs="Arial"/>
                <w:b/>
                <w:sz w:val="22"/>
                <w:szCs w:val="22"/>
                <w:rtl/>
              </w:rPr>
            </w:pPr>
            <w:r>
              <w:rPr>
                <w:rFonts w:ascii="Arial" w:hAnsi="Arial" w:cs="Arial" w:hint="cs"/>
                <w:b/>
                <w:sz w:val="22"/>
                <w:szCs w:val="22"/>
                <w:rtl/>
              </w:rPr>
              <w:t>ב-</w:t>
            </w:r>
            <w:r>
              <w:rPr>
                <w:rFonts w:ascii="Arial" w:hAnsi="Arial" w:cs="Arial" w:hint="cs"/>
                <w:b/>
                <w:sz w:val="22"/>
                <w:szCs w:val="22"/>
              </w:rPr>
              <w:t>IAIS</w:t>
            </w:r>
            <w:r>
              <w:rPr>
                <w:rFonts w:ascii="Arial" w:hAnsi="Arial" w:cs="Arial" w:hint="cs"/>
                <w:b/>
                <w:sz w:val="22"/>
                <w:szCs w:val="22"/>
                <w:rtl/>
              </w:rPr>
              <w:t xml:space="preserve"> חברות למעלה ממאה רשויות פיקוח, הארגון מפרסם ניירות עבודה וקווים מנחים לפעילות בתחום הביטוח. תוצרי הארגון משמשים את הרשות לצורך ביצוע אסדרה ופיקוח בתחומי ביטוח. החברות בארגון, מאפשרת גם לרשות לשתף פעולה עם רשויות פיקוח אחרות, במסגרת מזכר הבנות רב-לאומי בין מספר רשויות החברות בארגון. </w:t>
            </w:r>
          </w:p>
        </w:tc>
      </w:tr>
    </w:tbl>
    <w:p w:rsidR="008C6B28" w:rsidRPr="00F54DC6" w:rsidRDefault="008C6B28" w:rsidP="008C6B28">
      <w:pPr>
        <w:rPr>
          <w:rFonts w:ascii="Arial" w:hAnsi="Arial" w:cs="Arial"/>
          <w:b/>
          <w:sz w:val="22"/>
          <w:szCs w:val="22"/>
          <w:rtl/>
        </w:rPr>
      </w:pPr>
    </w:p>
    <w:p w:rsidR="008C6B28" w:rsidRPr="00F54DC6" w:rsidRDefault="008C6B28" w:rsidP="008C6B28">
      <w:pPr>
        <w:rPr>
          <w:rFonts w:ascii="Arial" w:hAnsi="Arial" w:cs="Arial"/>
          <w:b/>
          <w:sz w:val="22"/>
          <w:szCs w:val="22"/>
          <w:rtl/>
        </w:rPr>
      </w:pPr>
      <w:r w:rsidRPr="00F54DC6">
        <w:rPr>
          <w:rFonts w:ascii="Arial" w:hAnsi="Arial" w:cs="Arial"/>
          <w:b/>
          <w:sz w:val="22"/>
          <w:szCs w:val="22"/>
          <w:rtl/>
        </w:rPr>
        <w:t>חוות דעתי זו ניתנת מתוקף היותי הסמכות המקצועית לנושא זה.</w:t>
      </w:r>
    </w:p>
    <w:p w:rsidR="008C6B28" w:rsidRPr="00F54DC6" w:rsidRDefault="008C6B28" w:rsidP="008C6B28">
      <w:pPr>
        <w:rPr>
          <w:rFonts w:ascii="Arial" w:hAnsi="Arial" w:cs="Arial"/>
          <w:b/>
          <w:sz w:val="22"/>
          <w:szCs w:val="22"/>
          <w:rtl/>
        </w:rPr>
      </w:pPr>
    </w:p>
    <w:p w:rsidR="008C6B28" w:rsidRDefault="008C6B28" w:rsidP="008C6B28">
      <w:pPr>
        <w:rPr>
          <w:rFonts w:ascii="Arial" w:hAnsi="Arial" w:cs="Arial"/>
          <w:b/>
          <w:sz w:val="22"/>
          <w:szCs w:val="22"/>
          <w:rtl/>
        </w:rPr>
      </w:pPr>
      <w:r w:rsidRPr="00F54DC6">
        <w:rPr>
          <w:rFonts w:ascii="Arial" w:hAnsi="Arial" w:cs="Arial"/>
          <w:b/>
          <w:sz w:val="22"/>
          <w:szCs w:val="22"/>
          <w:rtl/>
        </w:rPr>
        <w:t>בכבוד רב,</w:t>
      </w:r>
      <w:r>
        <w:rPr>
          <w:rFonts w:ascii="Arial" w:hAnsi="Arial" w:cs="Arial" w:hint="cs"/>
          <w:b/>
          <w:sz w:val="22"/>
          <w:szCs w:val="22"/>
          <w:rtl/>
        </w:rPr>
        <w:tab/>
      </w:r>
    </w:p>
    <w:p w:rsidR="008C6B28" w:rsidRPr="00F54DC6" w:rsidRDefault="008C6B28" w:rsidP="008C6B28">
      <w:pPr>
        <w:rPr>
          <w:rFonts w:ascii="Arial" w:hAnsi="Arial" w:cs="Arial"/>
          <w:b/>
          <w:sz w:val="22"/>
          <w:szCs w:val="22"/>
          <w:rtl/>
        </w:rPr>
      </w:pPr>
      <w:r w:rsidRPr="00F54DC6">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2700"/>
      </w:tblGrid>
      <w:tr w:rsidR="008C6B28" w:rsidTr="00DC0C0D">
        <w:tc>
          <w:tcPr>
            <w:tcW w:w="2698" w:type="dxa"/>
            <w:tcBorders>
              <w:bottom w:val="single" w:sz="4" w:space="0" w:color="auto"/>
            </w:tcBorders>
          </w:tcPr>
          <w:p w:rsidR="008C6B28" w:rsidRPr="00F54DC6" w:rsidRDefault="008C6B28" w:rsidP="00DC0C0D">
            <w:pPr>
              <w:spacing w:line="360" w:lineRule="auto"/>
              <w:rPr>
                <w:rFonts w:ascii="Arial" w:hAnsi="Arial" w:cs="Arial"/>
                <w:b/>
                <w:sz w:val="22"/>
                <w:szCs w:val="22"/>
                <w:rtl/>
              </w:rPr>
            </w:pPr>
            <w:r>
              <w:rPr>
                <w:rFonts w:ascii="Arial" w:hAnsi="Arial" w:cs="Arial" w:hint="cs"/>
                <w:b/>
                <w:sz w:val="22"/>
                <w:szCs w:val="22"/>
                <w:rtl/>
              </w:rPr>
              <w:t>לביא שיפנבאואר</w:t>
            </w:r>
          </w:p>
        </w:tc>
        <w:tc>
          <w:tcPr>
            <w:tcW w:w="3420" w:type="dxa"/>
            <w:tcBorders>
              <w:bottom w:val="single" w:sz="4" w:space="0" w:color="auto"/>
            </w:tcBorders>
          </w:tcPr>
          <w:p w:rsidR="008C6B28" w:rsidRPr="00F54DC6" w:rsidRDefault="008C6B28" w:rsidP="00DC0C0D">
            <w:pPr>
              <w:spacing w:line="360" w:lineRule="auto"/>
              <w:rPr>
                <w:rFonts w:ascii="Arial" w:hAnsi="Arial" w:cs="Arial"/>
                <w:b/>
                <w:sz w:val="22"/>
                <w:szCs w:val="22"/>
                <w:rtl/>
              </w:rPr>
            </w:pPr>
            <w:r>
              <w:rPr>
                <w:rFonts w:ascii="Arial" w:hAnsi="Arial" w:cs="Arial" w:hint="cs"/>
                <w:b/>
                <w:sz w:val="22"/>
                <w:szCs w:val="22"/>
                <w:rtl/>
              </w:rPr>
              <w:t>מנהל תחום מידע ופיתוח</w:t>
            </w:r>
          </w:p>
        </w:tc>
        <w:tc>
          <w:tcPr>
            <w:tcW w:w="2700" w:type="dxa"/>
            <w:tcBorders>
              <w:bottom w:val="single" w:sz="4" w:space="0" w:color="auto"/>
            </w:tcBorders>
          </w:tcPr>
          <w:p w:rsidR="008C6B28" w:rsidRPr="00F54DC6" w:rsidRDefault="008C6B28" w:rsidP="00DC0C0D">
            <w:pPr>
              <w:spacing w:line="360" w:lineRule="auto"/>
              <w:jc w:val="center"/>
              <w:rPr>
                <w:rFonts w:ascii="Arial" w:hAnsi="Arial" w:cs="Arial"/>
                <w:b/>
                <w:sz w:val="22"/>
                <w:szCs w:val="22"/>
                <w:rtl/>
              </w:rPr>
            </w:pPr>
            <w:r w:rsidRPr="0074710B">
              <w:rPr>
                <w:rFonts w:ascii="Arial" w:hAnsi="Arial" w:cs="Arial"/>
                <w:b/>
                <w:noProof/>
                <w:sz w:val="22"/>
                <w:szCs w:val="22"/>
                <w:rtl/>
                <w:lang w:eastAsia="en-US"/>
              </w:rPr>
              <w:drawing>
                <wp:inline distT="0" distB="0" distL="0" distR="0" wp14:anchorId="735D2389" wp14:editId="57294185">
                  <wp:extent cx="362001" cy="46679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2001" cy="466790"/>
                          </a:xfrm>
                          <a:prstGeom prst="rect">
                            <a:avLst/>
                          </a:prstGeom>
                        </pic:spPr>
                      </pic:pic>
                    </a:graphicData>
                  </a:graphic>
                </wp:inline>
              </w:drawing>
            </w:r>
          </w:p>
        </w:tc>
      </w:tr>
      <w:tr w:rsidR="008C6B28" w:rsidTr="00DC0C0D">
        <w:tc>
          <w:tcPr>
            <w:tcW w:w="2698" w:type="dxa"/>
            <w:tcBorders>
              <w:top w:val="single" w:sz="4" w:space="0" w:color="auto"/>
            </w:tcBorders>
            <w:shd w:val="clear" w:color="auto" w:fill="E6E6E6"/>
          </w:tcPr>
          <w:p w:rsidR="008C6B28" w:rsidRPr="00F54DC6" w:rsidRDefault="008C6B28" w:rsidP="00DC0C0D">
            <w:pPr>
              <w:spacing w:line="360" w:lineRule="auto"/>
              <w:jc w:val="center"/>
              <w:rPr>
                <w:rFonts w:ascii="Arial" w:hAnsi="Arial" w:cs="Arial"/>
                <w:bCs/>
                <w:sz w:val="22"/>
                <w:szCs w:val="22"/>
                <w:rtl/>
              </w:rPr>
            </w:pPr>
            <w:r w:rsidRPr="00F54DC6">
              <w:rPr>
                <w:rFonts w:ascii="Arial" w:hAnsi="Arial" w:cs="Arial"/>
                <w:bCs/>
                <w:sz w:val="22"/>
                <w:szCs w:val="22"/>
                <w:rtl/>
              </w:rPr>
              <w:t>שם בעל הסמכות המקצועית</w:t>
            </w:r>
          </w:p>
        </w:tc>
        <w:tc>
          <w:tcPr>
            <w:tcW w:w="3420" w:type="dxa"/>
            <w:tcBorders>
              <w:top w:val="single" w:sz="4" w:space="0" w:color="auto"/>
            </w:tcBorders>
            <w:shd w:val="clear" w:color="auto" w:fill="E6E6E6"/>
          </w:tcPr>
          <w:p w:rsidR="008C6B28" w:rsidRPr="00F54DC6" w:rsidRDefault="008C6B28" w:rsidP="00DC0C0D">
            <w:pPr>
              <w:spacing w:line="360" w:lineRule="auto"/>
              <w:jc w:val="center"/>
              <w:rPr>
                <w:rFonts w:ascii="Arial" w:hAnsi="Arial" w:cs="Arial"/>
                <w:bCs/>
                <w:sz w:val="22"/>
                <w:szCs w:val="22"/>
                <w:rtl/>
              </w:rPr>
            </w:pPr>
            <w:r w:rsidRPr="00F54DC6">
              <w:rPr>
                <w:rFonts w:ascii="Arial" w:hAnsi="Arial" w:cs="Arial"/>
                <w:bCs/>
                <w:sz w:val="22"/>
                <w:szCs w:val="22"/>
                <w:rtl/>
              </w:rPr>
              <w:t>תפקיד בעל הסמכות המקצועית</w:t>
            </w:r>
          </w:p>
        </w:tc>
        <w:tc>
          <w:tcPr>
            <w:tcW w:w="2700" w:type="dxa"/>
            <w:tcBorders>
              <w:top w:val="single" w:sz="4" w:space="0" w:color="auto"/>
            </w:tcBorders>
            <w:shd w:val="clear" w:color="auto" w:fill="E6E6E6"/>
          </w:tcPr>
          <w:p w:rsidR="008C6B28" w:rsidRPr="00F54DC6" w:rsidRDefault="008C6B28" w:rsidP="00DC0C0D">
            <w:pPr>
              <w:spacing w:line="360" w:lineRule="auto"/>
              <w:jc w:val="center"/>
              <w:rPr>
                <w:rFonts w:ascii="Arial" w:hAnsi="Arial" w:cs="Arial"/>
                <w:bCs/>
                <w:sz w:val="22"/>
                <w:szCs w:val="22"/>
                <w:rtl/>
              </w:rPr>
            </w:pPr>
            <w:r w:rsidRPr="00F54DC6">
              <w:rPr>
                <w:rFonts w:ascii="Arial" w:hAnsi="Arial" w:cs="Arial"/>
                <w:bCs/>
                <w:sz w:val="22"/>
                <w:szCs w:val="22"/>
                <w:rtl/>
              </w:rPr>
              <w:t>חתימה</w:t>
            </w:r>
          </w:p>
        </w:tc>
      </w:tr>
    </w:tbl>
    <w:p w:rsidR="008C6B28" w:rsidRDefault="008C6B28" w:rsidP="008C6B28"/>
    <w:p w:rsidR="00213284" w:rsidRDefault="00213284" w:rsidP="00C3464B">
      <w:pPr>
        <w:spacing w:line="300" w:lineRule="auto"/>
        <w:rPr>
          <w:sz w:val="24"/>
          <w:rtl/>
        </w:rPr>
      </w:pPr>
    </w:p>
    <w:p w:rsidR="00213284" w:rsidRDefault="00213284" w:rsidP="00C3464B">
      <w:pPr>
        <w:spacing w:line="300" w:lineRule="auto"/>
        <w:rPr>
          <w:sz w:val="24"/>
          <w:rtl/>
        </w:rPr>
      </w:pPr>
    </w:p>
    <w:p w:rsidR="00C3464B" w:rsidRDefault="00C3464B" w:rsidP="00344163">
      <w:pPr>
        <w:tabs>
          <w:tab w:val="center" w:pos="3093"/>
          <w:tab w:val="center" w:pos="7654"/>
        </w:tabs>
        <w:spacing w:line="360" w:lineRule="auto"/>
        <w:jc w:val="left"/>
        <w:rPr>
          <w:sz w:val="24"/>
          <w:rtl/>
        </w:rPr>
      </w:pPr>
      <w:r>
        <w:rPr>
          <w:sz w:val="24"/>
          <w:rtl/>
        </w:rPr>
        <w:tab/>
      </w:r>
      <w:r>
        <w:rPr>
          <w:sz w:val="24"/>
          <w:rtl/>
        </w:rPr>
        <w:tab/>
        <w:t>ב</w:t>
      </w:r>
      <w:r>
        <w:rPr>
          <w:sz w:val="24"/>
        </w:rPr>
        <w:t xml:space="preserve"> </w:t>
      </w:r>
      <w:proofErr w:type="spellStart"/>
      <w:r>
        <w:rPr>
          <w:sz w:val="24"/>
          <w:rtl/>
        </w:rPr>
        <w:t>ב</w:t>
      </w:r>
      <w:proofErr w:type="spellEnd"/>
      <w:r>
        <w:rPr>
          <w:sz w:val="24"/>
        </w:rPr>
        <w:t xml:space="preserve"> </w:t>
      </w:r>
      <w:r>
        <w:rPr>
          <w:sz w:val="24"/>
          <w:rtl/>
        </w:rPr>
        <w:t>ר</w:t>
      </w:r>
      <w:r>
        <w:rPr>
          <w:sz w:val="24"/>
        </w:rPr>
        <w:t xml:space="preserve"> </w:t>
      </w:r>
      <w:r>
        <w:rPr>
          <w:sz w:val="24"/>
          <w:rtl/>
        </w:rPr>
        <w:t>כ</w:t>
      </w:r>
      <w:r>
        <w:rPr>
          <w:sz w:val="24"/>
        </w:rPr>
        <w:t xml:space="preserve"> </w:t>
      </w:r>
      <w:r>
        <w:rPr>
          <w:sz w:val="24"/>
          <w:rtl/>
        </w:rPr>
        <w:t>ה,</w:t>
      </w:r>
    </w:p>
    <w:p w:rsidR="00344163" w:rsidRDefault="00344163" w:rsidP="00344163">
      <w:pPr>
        <w:tabs>
          <w:tab w:val="center" w:pos="3093"/>
          <w:tab w:val="center" w:pos="7654"/>
        </w:tabs>
        <w:spacing w:line="360" w:lineRule="auto"/>
        <w:jc w:val="left"/>
        <w:rPr>
          <w:sz w:val="24"/>
          <w:rtl/>
        </w:rPr>
      </w:pPr>
    </w:p>
    <w:p w:rsidR="00C3464B" w:rsidRDefault="00C3464B" w:rsidP="00344163">
      <w:pPr>
        <w:tabs>
          <w:tab w:val="center" w:pos="3093"/>
          <w:tab w:val="center" w:pos="7654"/>
        </w:tabs>
        <w:spacing w:line="360" w:lineRule="auto"/>
        <w:jc w:val="left"/>
        <w:rPr>
          <w:sz w:val="24"/>
          <w:rtl/>
        </w:rPr>
      </w:pPr>
    </w:p>
    <w:p w:rsidR="003F55B2" w:rsidRDefault="003F55B2" w:rsidP="00344163">
      <w:pPr>
        <w:tabs>
          <w:tab w:val="center" w:pos="3093"/>
          <w:tab w:val="center" w:pos="7654"/>
        </w:tabs>
        <w:spacing w:line="360" w:lineRule="auto"/>
        <w:jc w:val="left"/>
        <w:rPr>
          <w:sz w:val="24"/>
          <w:rtl/>
        </w:rPr>
      </w:pPr>
      <w:bookmarkStart w:id="5" w:name="SignedBy"/>
      <w:bookmarkEnd w:id="5"/>
      <w:r>
        <w:rPr>
          <w:sz w:val="24"/>
          <w:rtl/>
        </w:rPr>
        <w:tab/>
      </w:r>
      <w:r>
        <w:rPr>
          <w:sz w:val="24"/>
          <w:rtl/>
        </w:rPr>
        <w:tab/>
      </w:r>
      <w:r>
        <w:rPr>
          <w:rFonts w:hint="eastAsia"/>
          <w:sz w:val="24"/>
          <w:rtl/>
        </w:rPr>
        <w:t>לביא</w:t>
      </w:r>
      <w:r>
        <w:rPr>
          <w:sz w:val="24"/>
          <w:rtl/>
        </w:rPr>
        <w:t xml:space="preserve"> </w:t>
      </w:r>
      <w:r>
        <w:rPr>
          <w:rFonts w:hint="eastAsia"/>
          <w:sz w:val="24"/>
          <w:rtl/>
        </w:rPr>
        <w:t>שיפנבאואר</w:t>
      </w:r>
      <w:r>
        <w:rPr>
          <w:sz w:val="24"/>
          <w:rtl/>
        </w:rPr>
        <w:br/>
      </w:r>
      <w:r>
        <w:rPr>
          <w:sz w:val="24"/>
          <w:rtl/>
        </w:rPr>
        <w:tab/>
      </w:r>
      <w:r>
        <w:rPr>
          <w:sz w:val="24"/>
          <w:rtl/>
        </w:rPr>
        <w:tab/>
      </w:r>
      <w:r>
        <w:rPr>
          <w:rFonts w:hint="eastAsia"/>
          <w:sz w:val="24"/>
          <w:rtl/>
        </w:rPr>
        <w:t>מנהל</w:t>
      </w:r>
      <w:r>
        <w:rPr>
          <w:sz w:val="24"/>
          <w:rtl/>
        </w:rPr>
        <w:t xml:space="preserve"> </w:t>
      </w:r>
      <w:r>
        <w:rPr>
          <w:rFonts w:hint="eastAsia"/>
          <w:sz w:val="24"/>
          <w:rtl/>
        </w:rPr>
        <w:t>מחלקת</w:t>
      </w:r>
      <w:r>
        <w:rPr>
          <w:sz w:val="24"/>
          <w:rtl/>
        </w:rPr>
        <w:t xml:space="preserve"> </w:t>
      </w:r>
      <w:r>
        <w:rPr>
          <w:rFonts w:hint="eastAsia"/>
          <w:sz w:val="24"/>
          <w:rtl/>
        </w:rPr>
        <w:t>מידע</w:t>
      </w:r>
      <w:r>
        <w:rPr>
          <w:sz w:val="24"/>
          <w:rtl/>
        </w:rPr>
        <w:t xml:space="preserve"> </w:t>
      </w:r>
      <w:r>
        <w:rPr>
          <w:rFonts w:hint="eastAsia"/>
          <w:sz w:val="24"/>
          <w:rtl/>
        </w:rPr>
        <w:t>ופיתוח</w:t>
      </w:r>
    </w:p>
    <w:p w:rsidR="00344163" w:rsidRDefault="00344163" w:rsidP="00213284">
      <w:pPr>
        <w:tabs>
          <w:tab w:val="center" w:pos="3093"/>
          <w:tab w:val="center" w:pos="7654"/>
        </w:tabs>
        <w:spacing w:line="360" w:lineRule="auto"/>
        <w:jc w:val="left"/>
        <w:rPr>
          <w:sz w:val="24"/>
          <w:rtl/>
        </w:rPr>
      </w:pPr>
    </w:p>
    <w:p w:rsidR="00C3464B" w:rsidRDefault="00C3464B" w:rsidP="00213284">
      <w:pPr>
        <w:jc w:val="left"/>
        <w:rPr>
          <w:sz w:val="24"/>
          <w:rtl/>
        </w:rPr>
      </w:pPr>
      <w:r>
        <w:rPr>
          <w:sz w:val="24"/>
          <w:rtl/>
        </w:rPr>
        <w:t>העתק:</w:t>
      </w:r>
      <w:r>
        <w:rPr>
          <w:sz w:val="24"/>
          <w:rtl/>
        </w:rPr>
        <w:tab/>
      </w:r>
    </w:p>
    <w:p w:rsidR="003F55B2" w:rsidRDefault="003F55B2" w:rsidP="00213284">
      <w:pPr>
        <w:jc w:val="left"/>
        <w:rPr>
          <w:sz w:val="24"/>
          <w:rtl/>
        </w:rPr>
      </w:pPr>
      <w:bookmarkStart w:id="6" w:name="OtherTo"/>
      <w:bookmarkEnd w:id="6"/>
      <w:r>
        <w:rPr>
          <w:rFonts w:hint="eastAsia"/>
          <w:sz w:val="24"/>
          <w:rtl/>
        </w:rPr>
        <w:t>גב</w:t>
      </w:r>
      <w:r>
        <w:rPr>
          <w:sz w:val="24"/>
          <w:rtl/>
        </w:rPr>
        <w:t xml:space="preserve">' </w:t>
      </w:r>
      <w:r>
        <w:rPr>
          <w:rFonts w:hint="eastAsia"/>
          <w:sz w:val="24"/>
          <w:rtl/>
        </w:rPr>
        <w:t>אורלי</w:t>
      </w:r>
      <w:r>
        <w:rPr>
          <w:sz w:val="24"/>
          <w:rtl/>
        </w:rPr>
        <w:t xml:space="preserve"> </w:t>
      </w:r>
      <w:proofErr w:type="spellStart"/>
      <w:r>
        <w:rPr>
          <w:rFonts w:hint="eastAsia"/>
          <w:sz w:val="24"/>
          <w:rtl/>
        </w:rPr>
        <w:t>דוידיאן</w:t>
      </w:r>
      <w:proofErr w:type="spellEnd"/>
      <w:r>
        <w:rPr>
          <w:sz w:val="24"/>
          <w:rtl/>
        </w:rPr>
        <w:t xml:space="preserve"> - </w:t>
      </w:r>
      <w:r>
        <w:rPr>
          <w:rFonts w:hint="eastAsia"/>
          <w:sz w:val="24"/>
          <w:rtl/>
        </w:rPr>
        <w:t>חשבת</w:t>
      </w:r>
      <w:r>
        <w:rPr>
          <w:sz w:val="24"/>
          <w:rtl/>
        </w:rPr>
        <w:t xml:space="preserve"> </w:t>
      </w:r>
      <w:r>
        <w:rPr>
          <w:rFonts w:hint="eastAsia"/>
          <w:sz w:val="24"/>
          <w:rtl/>
        </w:rPr>
        <w:t>רשות</w:t>
      </w:r>
      <w:r>
        <w:rPr>
          <w:sz w:val="24"/>
          <w:rtl/>
        </w:rPr>
        <w:t xml:space="preserve"> </w:t>
      </w:r>
      <w:r>
        <w:rPr>
          <w:rFonts w:hint="eastAsia"/>
          <w:sz w:val="24"/>
          <w:rtl/>
        </w:rPr>
        <w:t>שוק</w:t>
      </w:r>
      <w:r>
        <w:rPr>
          <w:sz w:val="24"/>
          <w:rtl/>
        </w:rPr>
        <w:t xml:space="preserve"> </w:t>
      </w:r>
      <w:r>
        <w:rPr>
          <w:rFonts w:hint="eastAsia"/>
          <w:sz w:val="24"/>
          <w:rtl/>
        </w:rPr>
        <w:t>ההון</w:t>
      </w:r>
      <w:r>
        <w:rPr>
          <w:sz w:val="24"/>
          <w:rtl/>
        </w:rPr>
        <w:t xml:space="preserve">, </w:t>
      </w:r>
      <w:r>
        <w:rPr>
          <w:rFonts w:hint="eastAsia"/>
          <w:sz w:val="24"/>
          <w:rtl/>
        </w:rPr>
        <w:t>משרד</w:t>
      </w:r>
      <w:r>
        <w:rPr>
          <w:sz w:val="24"/>
          <w:rtl/>
        </w:rPr>
        <w:t xml:space="preserve"> </w:t>
      </w:r>
      <w:r>
        <w:rPr>
          <w:rFonts w:hint="eastAsia"/>
          <w:sz w:val="24"/>
          <w:rtl/>
        </w:rPr>
        <w:t>האוצר</w:t>
      </w:r>
      <w:r>
        <w:rPr>
          <w:sz w:val="24"/>
          <w:rtl/>
        </w:rPr>
        <w:br/>
      </w:r>
      <w:r>
        <w:rPr>
          <w:rFonts w:hint="eastAsia"/>
          <w:sz w:val="24"/>
          <w:rtl/>
        </w:rPr>
        <w:t>מר</w:t>
      </w:r>
      <w:r>
        <w:rPr>
          <w:sz w:val="24"/>
          <w:rtl/>
        </w:rPr>
        <w:t xml:space="preserve"> </w:t>
      </w:r>
      <w:r>
        <w:rPr>
          <w:rFonts w:hint="eastAsia"/>
          <w:sz w:val="24"/>
          <w:rtl/>
        </w:rPr>
        <w:t>אביתר</w:t>
      </w:r>
      <w:r>
        <w:rPr>
          <w:sz w:val="24"/>
          <w:rtl/>
        </w:rPr>
        <w:t xml:space="preserve"> </w:t>
      </w:r>
      <w:r>
        <w:rPr>
          <w:rFonts w:hint="eastAsia"/>
          <w:sz w:val="24"/>
          <w:rtl/>
        </w:rPr>
        <w:t>תורג</w:t>
      </w:r>
      <w:r>
        <w:rPr>
          <w:sz w:val="24"/>
          <w:rtl/>
        </w:rPr>
        <w:t>'</w:t>
      </w:r>
      <w:r>
        <w:rPr>
          <w:rFonts w:hint="eastAsia"/>
          <w:sz w:val="24"/>
          <w:rtl/>
        </w:rPr>
        <w:t>מן</w:t>
      </w:r>
      <w:r>
        <w:rPr>
          <w:sz w:val="24"/>
          <w:rtl/>
        </w:rPr>
        <w:t xml:space="preserve"> - </w:t>
      </w:r>
      <w:r>
        <w:rPr>
          <w:rFonts w:hint="eastAsia"/>
          <w:sz w:val="24"/>
          <w:rtl/>
        </w:rPr>
        <w:t>עוזר</w:t>
      </w:r>
      <w:r>
        <w:rPr>
          <w:sz w:val="24"/>
          <w:rtl/>
        </w:rPr>
        <w:t xml:space="preserve"> </w:t>
      </w:r>
      <w:r>
        <w:rPr>
          <w:rFonts w:hint="eastAsia"/>
          <w:sz w:val="24"/>
          <w:rtl/>
        </w:rPr>
        <w:t>ראשי</w:t>
      </w:r>
      <w:r>
        <w:rPr>
          <w:sz w:val="24"/>
          <w:rtl/>
        </w:rPr>
        <w:t xml:space="preserve"> </w:t>
      </w:r>
      <w:r>
        <w:rPr>
          <w:rFonts w:hint="eastAsia"/>
          <w:sz w:val="24"/>
          <w:rtl/>
        </w:rPr>
        <w:t>בלשכה</w:t>
      </w:r>
      <w:r>
        <w:rPr>
          <w:sz w:val="24"/>
          <w:rtl/>
        </w:rPr>
        <w:t xml:space="preserve"> </w:t>
      </w:r>
      <w:r>
        <w:rPr>
          <w:rFonts w:hint="eastAsia"/>
          <w:sz w:val="24"/>
          <w:rtl/>
        </w:rPr>
        <w:t>המשפטית</w:t>
      </w:r>
    </w:p>
    <w:p w:rsidR="00C3464B" w:rsidRPr="004C64D8" w:rsidRDefault="00C3464B" w:rsidP="00213284">
      <w:pPr>
        <w:jc w:val="left"/>
        <w:rPr>
          <w:szCs w:val="26"/>
          <w:rtl/>
        </w:rPr>
      </w:pPr>
    </w:p>
    <w:p w:rsidR="00213284" w:rsidRDefault="00213284" w:rsidP="00213284">
      <w:pPr>
        <w:spacing w:line="300" w:lineRule="auto"/>
        <w:rPr>
          <w:rtl/>
        </w:rPr>
      </w:pPr>
    </w:p>
    <w:p w:rsidR="00213284" w:rsidRPr="00C3464B" w:rsidRDefault="00213284" w:rsidP="00213284">
      <w:pPr>
        <w:spacing w:line="300" w:lineRule="auto"/>
      </w:pPr>
    </w:p>
    <w:sectPr w:rsidR="00213284" w:rsidRPr="00C3464B" w:rsidSect="00184BCF">
      <w:headerReference w:type="even" r:id="rId9"/>
      <w:headerReference w:type="default" r:id="rId10"/>
      <w:footerReference w:type="default" r:id="rId11"/>
      <w:headerReference w:type="first" r:id="rId12"/>
      <w:footerReference w:type="first" r:id="rId13"/>
      <w:pgSz w:w="11907" w:h="16840" w:code="9"/>
      <w:pgMar w:top="1418" w:right="1134" w:bottom="1418" w:left="1134" w:header="142" w:footer="23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569B" w:rsidRDefault="000B569B">
      <w:r>
        <w:separator/>
      </w:r>
    </w:p>
  </w:endnote>
  <w:endnote w:type="continuationSeparator" w:id="0">
    <w:p w:rsidR="000B569B" w:rsidRDefault="000B56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Pr="00060494" w:rsidRDefault="00184BCF" w:rsidP="00184BCF">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rPr>
        <w:b w:val="0"/>
        <w:bCs w:val="0"/>
      </w:rPr>
      <w:tab/>
    </w:r>
    <w:hyperlink r:id="rId1" w:history="1">
      <w:r w:rsidRPr="00435323">
        <w:rPr>
          <w:rStyle w:val="Hyperlink"/>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Pr="00060494" w:rsidRDefault="00184BCF" w:rsidP="00184BCF">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rPr>
        <w:b w:val="0"/>
        <w:bCs w:val="0"/>
      </w:rPr>
      <w:tab/>
    </w:r>
    <w:hyperlink r:id="rId1" w:history="1">
      <w:r w:rsidRPr="00435323">
        <w:rPr>
          <w:rStyle w:val="Hyperlink"/>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569B" w:rsidRDefault="000B569B">
      <w:r>
        <w:separator/>
      </w:r>
    </w:p>
  </w:footnote>
  <w:footnote w:type="continuationSeparator" w:id="0">
    <w:p w:rsidR="000B569B" w:rsidRDefault="000B56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FFD" w:rsidRDefault="00C3464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624FFD" w:rsidRDefault="003F55B2">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60516531"/>
      <w:docPartObj>
        <w:docPartGallery w:val="Page Numbers (Top of Page)"/>
        <w:docPartUnique/>
      </w:docPartObj>
    </w:sdtPr>
    <w:sdtEndPr>
      <w:rPr>
        <w:cs/>
      </w:rPr>
    </w:sdtEndPr>
    <w:sdtContent>
      <w:p w:rsidR="004C64D8" w:rsidRDefault="00C3464B">
        <w:pPr>
          <w:pStyle w:val="a8"/>
          <w:jc w:val="center"/>
          <w:rPr>
            <w:rtl/>
            <w:cs/>
          </w:rPr>
        </w:pPr>
        <w:r>
          <w:fldChar w:fldCharType="begin"/>
        </w:r>
        <w:r>
          <w:rPr>
            <w:rtl/>
            <w:cs/>
          </w:rPr>
          <w:instrText>PAGE   \* MERGEFORMAT</w:instrText>
        </w:r>
        <w:r>
          <w:fldChar w:fldCharType="separate"/>
        </w:r>
        <w:r w:rsidR="003F55B2" w:rsidRPr="003F55B2">
          <w:rPr>
            <w:noProof/>
            <w:rtl/>
            <w:lang w:val="he-IL"/>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Default="00184BCF" w:rsidP="00184BCF">
    <w:pPr>
      <w:pStyle w:val="a8"/>
      <w:jc w:val="center"/>
      <w:rPr>
        <w:b w:val="0"/>
        <w:bCs w:val="0"/>
        <w:szCs w:val="36"/>
        <w:rtl/>
      </w:rPr>
    </w:pPr>
    <w:r>
      <w:rPr>
        <w:rFonts w:hint="cs"/>
        <w:b w:val="0"/>
        <w:bCs w:val="0"/>
        <w:noProof/>
        <w:szCs w:val="36"/>
        <w:lang w:eastAsia="en-US"/>
      </w:rPr>
      <w:drawing>
        <wp:inline distT="0" distB="0" distL="0" distR="0" wp14:anchorId="2AC1AC00" wp14:editId="62F03B8A">
          <wp:extent cx="563056" cy="446228"/>
          <wp:effectExtent l="0" t="0" r="0" b="0"/>
          <wp:docPr id="10" name="תמונה 10"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DF5FA4" w:rsidRDefault="00DF5FA4" w:rsidP="00184BCF">
    <w:pPr>
      <w:pStyle w:val="a8"/>
      <w:pBdr>
        <w:bottom w:val="single" w:sz="12" w:space="1" w:color="auto"/>
      </w:pBdr>
      <w:jc w:val="center"/>
      <w:rPr>
        <w:szCs w:val="32"/>
        <w:rtl/>
      </w:rPr>
    </w:pPr>
    <w:r>
      <w:rPr>
        <w:rFonts w:hint="cs"/>
        <w:szCs w:val="32"/>
        <w:rtl/>
      </w:rPr>
      <w:t>מדינת ישראל</w:t>
    </w:r>
  </w:p>
  <w:p w:rsidR="00184BCF" w:rsidRDefault="00184BCF" w:rsidP="00184BCF">
    <w:pPr>
      <w:pStyle w:val="a8"/>
      <w:pBdr>
        <w:bottom w:val="single" w:sz="12" w:space="1" w:color="auto"/>
      </w:pBdr>
      <w:jc w:val="center"/>
      <w:rPr>
        <w:b w:val="0"/>
        <w:bCs w:val="0"/>
        <w:szCs w:val="32"/>
        <w:rtl/>
      </w:rPr>
    </w:pPr>
    <w:r>
      <w:rPr>
        <w:rFonts w:hint="cs"/>
        <w:szCs w:val="32"/>
        <w:rtl/>
      </w:rPr>
      <w:t>רשות</w:t>
    </w:r>
    <w:r>
      <w:rPr>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9"/>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64B"/>
    <w:rsid w:val="00014182"/>
    <w:rsid w:val="00047C97"/>
    <w:rsid w:val="000520B7"/>
    <w:rsid w:val="000568CE"/>
    <w:rsid w:val="00066383"/>
    <w:rsid w:val="00093B9D"/>
    <w:rsid w:val="000B569B"/>
    <w:rsid w:val="000C04AE"/>
    <w:rsid w:val="000C1905"/>
    <w:rsid w:val="000E6098"/>
    <w:rsid w:val="000E632C"/>
    <w:rsid w:val="0010326C"/>
    <w:rsid w:val="001611C6"/>
    <w:rsid w:val="00164B30"/>
    <w:rsid w:val="0018292D"/>
    <w:rsid w:val="00184BCF"/>
    <w:rsid w:val="001A7C42"/>
    <w:rsid w:val="001C4F6D"/>
    <w:rsid w:val="001D55DD"/>
    <w:rsid w:val="001E548A"/>
    <w:rsid w:val="00213284"/>
    <w:rsid w:val="00275887"/>
    <w:rsid w:val="002A54A3"/>
    <w:rsid w:val="002A7FEA"/>
    <w:rsid w:val="002E38F4"/>
    <w:rsid w:val="002F197C"/>
    <w:rsid w:val="00302D89"/>
    <w:rsid w:val="00325E01"/>
    <w:rsid w:val="00344163"/>
    <w:rsid w:val="00361114"/>
    <w:rsid w:val="003840FE"/>
    <w:rsid w:val="00393C6A"/>
    <w:rsid w:val="003A1D7A"/>
    <w:rsid w:val="003C3A5C"/>
    <w:rsid w:val="003E6762"/>
    <w:rsid w:val="003F1396"/>
    <w:rsid w:val="003F55B2"/>
    <w:rsid w:val="0040055E"/>
    <w:rsid w:val="00422A0D"/>
    <w:rsid w:val="00423D6A"/>
    <w:rsid w:val="00426E0E"/>
    <w:rsid w:val="004323EF"/>
    <w:rsid w:val="004410DE"/>
    <w:rsid w:val="0044663B"/>
    <w:rsid w:val="00451F2E"/>
    <w:rsid w:val="004523EB"/>
    <w:rsid w:val="00452D7A"/>
    <w:rsid w:val="004C127D"/>
    <w:rsid w:val="004C5538"/>
    <w:rsid w:val="004C7DCD"/>
    <w:rsid w:val="004D65A1"/>
    <w:rsid w:val="004E479D"/>
    <w:rsid w:val="004F3773"/>
    <w:rsid w:val="005028F9"/>
    <w:rsid w:val="00505D36"/>
    <w:rsid w:val="00515321"/>
    <w:rsid w:val="00515E5C"/>
    <w:rsid w:val="00534452"/>
    <w:rsid w:val="005371D8"/>
    <w:rsid w:val="00555180"/>
    <w:rsid w:val="00556BE2"/>
    <w:rsid w:val="0059318B"/>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6F2DA7"/>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C6B28"/>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E1B3E"/>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464B"/>
    <w:rsid w:val="00C37F33"/>
    <w:rsid w:val="00C84ABA"/>
    <w:rsid w:val="00CA61AF"/>
    <w:rsid w:val="00CB40A4"/>
    <w:rsid w:val="00CC1188"/>
    <w:rsid w:val="00CC356E"/>
    <w:rsid w:val="00CD6DB8"/>
    <w:rsid w:val="00CE0517"/>
    <w:rsid w:val="00CF44BB"/>
    <w:rsid w:val="00D33979"/>
    <w:rsid w:val="00D66453"/>
    <w:rsid w:val="00D731DA"/>
    <w:rsid w:val="00D969C1"/>
    <w:rsid w:val="00DD5320"/>
    <w:rsid w:val="00DE069A"/>
    <w:rsid w:val="00DE7CC8"/>
    <w:rsid w:val="00DF5FA4"/>
    <w:rsid w:val="00DF73FF"/>
    <w:rsid w:val="00E41B31"/>
    <w:rsid w:val="00E56588"/>
    <w:rsid w:val="00E95EEF"/>
    <w:rsid w:val="00EA6729"/>
    <w:rsid w:val="00EC303E"/>
    <w:rsid w:val="00EF71D7"/>
    <w:rsid w:val="00F00D41"/>
    <w:rsid w:val="00F0592A"/>
    <w:rsid w:val="00F25ABF"/>
    <w:rsid w:val="00F509E4"/>
    <w:rsid w:val="00F74EF7"/>
    <w:rsid w:val="00F80DA7"/>
    <w:rsid w:val="00F959D9"/>
    <w:rsid w:val="00F975CB"/>
    <w:rsid w:val="00FD1B4D"/>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F9DEADAB-CFFA-4FFD-A4E4-A1AE40103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5E4048-6B9A-4733-8197-D023AF67A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294</Words>
  <Characters>1472</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לביא שיפנבאואר</cp:lastModifiedBy>
  <cp:revision>13</cp:revision>
  <dcterms:created xsi:type="dcterms:W3CDTF">2012-10-21T10:02:00Z</dcterms:created>
  <dcterms:modified xsi:type="dcterms:W3CDTF">2022-11-29T05:21:00Z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notes://MAOR2/Doc/Shuk_hon/hondocNew4.nsf/0/0EA9200D8B147599C2258909001D61FF/?OpenDocument</vt:lpwstr>
  </property>
  <property fmtid="{D5CDD505-2E9C-101B-9397-08002B2CF9AE}" pid="3" name="MaorRecipients0">
    <vt:lpwstr>danielbu@mof.gov.il,orlid@mof.gov.il,evyatart@mof.gov.il,lavis@mof.gov.il</vt:lpwstr>
  </property>
</Properties>
</file>